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MüMstrV 2013</w:t>
      </w:r>
    </w:p>
    <w:p>
      <w:r>
        <w:rPr>
          <w:color w:val="555555"/>
          <w:sz w:val="18"/>
        </w:rPr>
        <w:t xml:space="preserve">Müllermeisterverordnung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51a Absatz 2 der Handwerksordnung, der zuletzt durch Artikel 3 Nummer 3 Buchstabe a des Gesetzes vom 11. Juli 2011 (BGBl. I S. 1341) geändert worden ist,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MüMstrV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https://recht.nulegal.eu/gesetze/M%C3%BCMstrV%202013/eingangsformel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