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 MüMstrV 2013 — Ziel und Gliederung des Teils I</w:t>
      </w:r>
    </w:p>
    <w:p>
      <w:r>
        <w:rPr>
          <w:color w:val="555555"/>
          <w:sz w:val="18"/>
        </w:rPr>
        <w:t xml:space="preserve">Müllermeisterverordnung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Durch die Prüfung in Teil I hat der Prüfling seine berufliche Handlungskompetenz dadurch nachzuweisen, dass er komplexe berufliche Aufgabenstellungen lösen und dabei Tätigkeiten des Müller-Handwerks meisterhaft verrichten kann.</w:t>
      </w:r>
    </w:p>
    <w:p>
      <w:r>
        <w:t xml:space="preserve">(2) Der Teil I der Meisterprüfung umfasst folgende Prüfungsbereiche:</w:t>
      </w:r>
    </w:p>
    <w:p>
      <w:pPr>
        <w:ind w:left="420"/>
      </w:pPr>
      <w:r>
        <w:t xml:space="preserve">1. ein Meisterprüfungsprojekt und ein darauf bezogenes Fachgespräch,</w:t>
      </w:r>
    </w:p>
    <w:p>
      <w:pPr>
        <w:ind w:left="420"/>
      </w:pPr>
      <w:r>
        <w:t xml:space="preserve">2. eine Situationsaufgabe.</w:t>
      </w:r>
    </w:p>
    <w:p>
      <w:r>
        <w:rPr>
          <w:color w:val="555555"/>
          <w:sz w:val="17"/>
        </w:rPr>
        <w:t xml:space="preserve">Zitiervorschlag: § 3 MüMstrV 2013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https://recht.nulegal.eu/gesetze/M%C3%BCMstrV%202013/3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 MüMstrV 2013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