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MüG 2021 — Bußgeldvorschriften</w:t>
      </w:r>
    </w:p>
    <w:p>
      <w:r>
        <w:rPr>
          <w:color w:val="555555"/>
          <w:sz w:val="18"/>
        </w:rPr>
        <w:t xml:space="preserve">Marktüberwachungsgesetz</w:t>
      </w:r>
    </w:p>
    <w:p>
      <w:r>
        <w:rPr>
          <w:color w:val="555555"/>
          <w:sz w:val="18"/>
        </w:rPr>
        <w:t xml:space="preserve">Stand: 16.07.2021 (konsolidierte Textfassung, kein amtliches Inkrafttretensdatum)</w:t>
      </w:r>
    </w:p>
    <w:p>
      <w:r>
        <w:t xml:space="preserve">(1) Ordnungswidrig handelt, wer vorsätzlich oder fahrlässig einer vollziehbaren Anordnung nach § 8 Absatz 2 Satz 1 in Verbindung mit Artikel 16 Absatz 3 der Verordnung (EU) 2019/1020 des Europäischen Parlaments und des Rates vom 20. Juni 2019 über Marktüberwachung und die Konformität von Produkten sowie zur Änderung der Richtlinie 2004/42/EG und der Verordnungen (EG) Nr. 765/2008 und (EU) Nr. 305/2011 (ABl. L 169 vom 25.6.2019, S. 1) zuwiderhandelt.</w:t>
      </w:r>
    </w:p>
    <w:p>
      <w:r>
        <w:t xml:space="preserve">(2) Ordnungswidrig handelt, wer gegen die Verordnung (EU) 2019/1020 verstößt, indem er vorsätzlich oder fahrlässig</w:t>
      </w:r>
    </w:p>
    <w:p>
      <w:pPr>
        <w:ind w:left="420"/>
      </w:pPr>
      <w:r>
        <w:t xml:space="preserve">1. entgegen Artikel 4 Absatz 3 Buchstabe a</w:t>
      </w:r>
    </w:p>
    <w:p>
      <w:pPr>
        <w:ind w:left="780"/>
      </w:pPr>
      <w:r>
        <w:t xml:space="preserve">a) eine dort genannte Überprüfung nicht oder nicht vor dem Inverkehrbringen vornimmt,</w:t>
      </w:r>
    </w:p>
    <w:p>
      <w:pPr>
        <w:ind w:left="780"/>
      </w:pPr>
      <w:r>
        <w:t xml:space="preserve">b) die EU-Konformitätserklärung oder die Leistungserklärung nicht oder nicht für die vorgeschriebene Dauer bereithält oder</w:t>
      </w:r>
    </w:p>
    <w:p>
      <w:pPr>
        <w:ind w:left="780"/>
      </w:pPr>
      <w:r>
        <w:t xml:space="preserve">c) nicht sicherstellt, dass eine dort genannte Unterlage zur Verfügung gestellt werden kann,</w:t>
      </w:r>
    </w:p>
    <w:p>
      <w:pPr>
        <w:ind w:left="420"/>
      </w:pPr>
      <w:r>
        <w:t xml:space="preserve">2. einer vollziehbaren Anordnung nach</w:t>
      </w:r>
    </w:p>
    <w:p>
      <w:pPr>
        <w:ind w:left="780"/>
      </w:pPr>
      <w:r>
        <w:t xml:space="preserve">a) Artikel 4 Absatz 3 Buchstabe b oder d oder</w:t>
      </w:r>
    </w:p>
    <w:p>
      <w:pPr>
        <w:ind w:left="780"/>
      </w:pPr>
      <w:r>
        <w:t xml:space="preserve">b) Artikel 16 Absatz 3</w:t>
      </w:r>
    </w:p>
    <w:p>
      <w:pPr>
        <w:ind w:left="420"/>
      </w:pPr>
      <w:r>
        <w:t xml:space="preserve">zuwiderhandelt,</w:t>
      </w:r>
    </w:p>
    <w:p>
      <w:pPr>
        <w:ind w:left="420"/>
      </w:pPr>
      <w:r>
        <w:t xml:space="preserve">3. entgegen Artikel 4 Absatz 3 Buchstabe c die Marktüberwachungsbehörde nicht oder nicht unverzüglich nach Vorliegen eines dort genannten Grundes unterrichtet oder</w:t>
      </w:r>
    </w:p>
    <w:p>
      <w:pPr>
        <w:ind w:left="420"/>
      </w:pPr>
      <w:r>
        <w:t xml:space="preserve">4. entgegen Artikel 4 Absatz 4 eine Angabe nicht, nicht richtig, nicht vollständig oder nicht vor dem Inverkehrbringen macht.</w:t>
      </w:r>
    </w:p>
    <w:p>
      <w:r>
        <w:t xml:space="preserve">(3) Die Ordnungswidrigkeit kann in den Fällen des Absatzes 1 und des Absatzes 2 Nummer 2 Buchstabe b mit einer Geldbuße bis zu hunderttausend Euro, in den übrigen Fällen mit einer Geldbuße bis zu zehntausend Euro geahndet werden.</w:t>
      </w:r>
    </w:p>
    <w:p>
      <w:r>
        <w:rPr>
          <w:color w:val="555555"/>
          <w:sz w:val="17"/>
        </w:rPr>
        <w:t xml:space="preserve">Zitiervorschlag: § 21 MüG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https://recht.nulegal.eu/gesetze/M%C3%BCG%202021/21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