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LwWSGVO-OB (Nordrhein-Westfalen)</w:t>
      </w:r>
    </w:p>
    <w:p>
      <w:r>
        <w:rPr>
          <w:color w:val="555555"/>
          <w:sz w:val="18"/>
        </w:rPr>
        <w:t xml:space="preserve">Landesweite Wasserschutzgebietsverordnung oberirdische Bodenschatzgewinnung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Rechtsverordnung für Schutzbestimmungen im Bereich</w:t>
      </w:r>
    </w:p>
    <w:p>
      <w:r>
        <w:t xml:space="preserve">Bodenschatzgewinnung für die Wasserschutzgebiete im Land Nordrhein-Westfalen</w:t>
      </w:r>
    </w:p>
    <w:p>
      <w:r>
        <w:t xml:space="preserve">(Landesweite Wasserschutzgebietsverordnung oberirdische Bodenschatzgewinnung -</w:t>
      </w:r>
    </w:p>
    <w:p>
      <w:r>
        <w:t xml:space="preserve">LwWSGVO-OB)</w:t>
      </w:r>
    </w:p>
    <w:p>
      <w:r>
        <w:t xml:space="preserve">Vom 21. September 2021</w:t>
      </w:r>
    </w:p>
    <w:p>
      <w:r>
        <w:t xml:space="preserve">Auf Grund des § 35 Absatz 1 Satz 3 des Landeswassergesetzes in der Fassung der Bekanntmachung vom 25. Juni 1995 (GV. NRW. S. 926), der zuletzt durch Artikel 1 des Gesetzes vom 8. Juli 2016 (GV. NRW. S. 559) neu gefasst worden ist, verordnet das Ministerium für Umwelt, Landwirtschaft, Natur- und Verbraucherschutz im Einvernehmen mit dem Ministerium für Wirtschaft, Innovation, Digitalisierung und Energie, dem Ministerium des Innern, dem Ministerium für Heimat, Kommunales, Bau und Gleichstellung und dem Ministerium für Verkehr:</w:t>
      </w:r>
    </w:p>
    <w:p>
      <w:r>
        <w:rPr>
          <w:color w:val="555555"/>
          <w:sz w:val="17"/>
        </w:rPr>
        <w:t xml:space="preserve">Zitiervorschlag: Volltext LwWSGVO-OB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https://recht.nulegal.eu/gesetze/LwWSGVO-OB/volltext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