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LwWSGVO-OB (Nordrhein-Westfalen) — Andere Rechtsvorschriften</w:t>
      </w:r>
    </w:p>
    <w:p>
      <w:r>
        <w:rPr>
          <w:color w:val="555555"/>
          <w:sz w:val="18"/>
        </w:rPr>
        <w:t xml:space="preserve">Landesweite Wasserschutzgebietsverordnung oberirdische Bodenschatzgewinnung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anderen Rechtsvorschriften oder aufgrund von Rechtsvorschriften vorgesehene Anzeige-, Genehmigungs-, Duldungs- oder Zulassungspflichten, Beschränkungen oder Verbote bleiben unberührt. § 52 Absatz 1 Satz 2 und 3 des Wasserhaushaltsgesetzes bleibt unberührt.</w:t>
      </w:r>
    </w:p>
    <w:p>
      <w:r>
        <w:rPr>
          <w:color w:val="555555"/>
          <w:sz w:val="17"/>
        </w:rPr>
        <w:t xml:space="preserve">Zitiervorschlag: § 8 LwWSGVO-OB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https://recht.nulegal.eu/gesetze/LwWSGVO-OB/8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