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LwWSGVO-OB (Nordrhein-Westfalen) — Ordnungswidrigkeiten</w:t>
      </w:r>
    </w:p>
    <w:p>
      <w:r>
        <w:rPr>
          <w:color w:val="555555"/>
          <w:sz w:val="18"/>
        </w:rPr>
        <w:t xml:space="preserve">Landesweite Wasserschutzgebietsverordnung oberirdische Bodenschatzgewinnung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nach § 103 Absatz 1 Nummer 7a und 8 des Wasserhaushaltsgesetzes und § 123 Absatz 1 Nummer 26 des Landeswassergesetzes handelt, wer vorsätzlich oder fahrlässig</w:t>
      </w:r>
    </w:p>
    <w:p>
      <w:r>
        <w:t xml:space="preserve">1. eine nach dieser Verordnung genehmigungspflichtige Handlung ohne eine Genehmigung vornimmt oder eine Nebenbestimmung eines entsprechenden bestandskräftigen Bescheides nicht einhält,</w:t>
      </w:r>
    </w:p>
    <w:p>
      <w:r>
        <w:t xml:space="preserve">2. eine nach dieser Verordnung verbotene Handlung ohne eine Befreiung gemäß § 52 Absatz 1 Satz 2 oder 3 des Wasserhaushaltsgesetzes vornimmt oder eine Nebenbestimmung eines entsprechenden bestandskräftigen Bescheides nicht einhält oder</w:t>
      </w:r>
    </w:p>
    <w:p>
      <w:r>
        <w:t xml:space="preserve">3. eine nach § 52 Absatz 1 Satz 1 Nummer 2 Buchstabe c des Wasserhaushaltsgesetzes zu duldende Maßnahme nicht duldet oder eine Nebenbestimmung eines entsprechenden bestandskräftigen Bescheides nicht einhält.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7 LwWSGVO-OB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https://recht.nulegal.eu/gesetze/LwWSGVO-OB/7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