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10 LwWSGVO-OB (Nordrhein-Westfalen) — Inkrafttreten</w:t>
      </w:r>
    </w:p>
    <w:p>
      <w:r>
        <w:rPr>
          <w:color w:val="555555"/>
          <w:sz w:val="18"/>
        </w:rPr>
        <w:t xml:space="preserve">Landesweite Wasserschutzgebietsverordnung oberirdische Bodenschatzgewinnung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Diese Verordnung tritt am 1. Oktober 2021 in Kraft.</w:t>
      </w:r>
    </w:p>
    <w:p>
      <w:r>
        <w:t xml:space="preserve">Die Ministerin für Umwelt, Landwirtschaft,</w:t>
      </w:r>
    </w:p>
    <w:p>
      <w:r>
        <w:t xml:space="preserve">Natur- und Verbraucherschutz</w:t>
      </w:r>
    </w:p>
    <w:p>
      <w:r>
        <w:t xml:space="preserve">des Landes Nordrhein-Westfalen</w:t>
      </w:r>
    </w:p>
    <w:p>
      <w:r>
        <w:rPr>
          <w:color w:val="555555"/>
          <w:sz w:val="17"/>
        </w:rPr>
        <w:t xml:space="preserve">Zitiervorschlag: § 10 LwWSGVO-OB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https://recht.nulegal.eu/gesetze/LwWSGVO-OB/10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