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Ein ehrenamtlicher Richter ist seines Amtes zu entheben, wenn das Fehlen einer in § 4 Abs. 3 bezeichneten Voraussetzung nachträglich bekannt wird oder eine solche Voraussetzung nachträglich wegfällt oder wenn er sich einer groben Verletzung seiner Amtspflicht schuldig macht.</w:t>
      </w:r>
    </w:p>
    <w:p>
      <w:r>
        <w:t xml:space="preserve">(2) Über die Amtsenthebung eines ehrenamtlichen Richters des Amtsgerichts oder des Oberlandesgerichts entscheidet der Erste Zivilsenat des Oberlandesgerichts, über die Amtsenthebung eines ehrenamtlichen Richters des Bundesgerichtshofes der Erste Zivilsenat des Bundesgerichtshofes. Vor der Entscheidung ist der ehrenamtliche Richter zu hören.</w:t>
      </w:r>
    </w:p>
    <w:p>
      <w:r>
        <w:rPr>
          <w:color w:val="555555"/>
          <w:sz w:val="17"/>
        </w:rPr>
        <w:t xml:space="preserve">Zitiervorschlag: § 7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