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Dieses Gesetz tritt am 1. Oktober 1953 in Kraft.</w:t>
      </w:r>
    </w:p>
    <w:p>
      <w:r>
        <w:t xml:space="preserve">(2) Folgende Vorschriften treten außer Kraft:</w:t>
      </w:r>
    </w:p>
    <w:p>
      <w:pPr>
        <w:ind w:left="420"/>
      </w:pPr>
      <w:r>
        <w:t xml:space="preserve">1. bis 7. (entfallen)</w:t>
      </w:r>
    </w:p>
    <w:p>
      <w:pPr>
        <w:ind w:left="420"/>
      </w:pPr>
      <w:r>
        <w:t xml:space="preserve">8. § 31 Abs. 2, §§ 32 bis 47, 54 der Badischen Durchführungsverordnung zum Kontrollratsgesetz Nr. 45 vom 11. Dezember 1948 (Badisches Gesetz- und Verordnungsblatt S. 217);</w:t>
      </w:r>
    </w:p>
    <w:p>
      <w:pPr>
        <w:ind w:left="420"/>
      </w:pPr>
      <w:r>
        <w:t xml:space="preserve">9. § 32 Abs. 2, §§ 33 bis 48, 55 der Grundstücksverkehrs- und -bewirtschaftungs-Verordnung des Landes Rheinland-Pfalz vom 11. Dezember 1948 (Gesetz- und Verordnungsblatt der Landesregierung Rheinland-Pfalz S. 447);</w:t>
      </w:r>
    </w:p>
    <w:p>
      <w:r>
        <w:t xml:space="preserve">10. (entfallen) 11. (entfallen)</w:t>
      </w:r>
    </w:p>
    <w:p>
      <w:pPr>
        <w:ind w:left="420"/>
      </w:pPr>
      <w:r>
        <w:t xml:space="preserve">12. § 32 Abs. 2, §§ 33 bis 50, 57 des Ersten Ausführungsgesetzes des Landes Württemberg-Hohenzollern zum Kontrollratsgesetz Nr. 45 vom 2. Mai 1949 (Regierungsblatt für das Land Württemberg-Hohenzollern S. 143);</w:t>
      </w:r>
    </w:p>
    <w:p>
      <w:r>
        <w:t xml:space="preserve">13. bis 16. (entfallen)</w:t>
      </w:r>
    </w:p>
    <w:p>
      <w:r>
        <w:t xml:space="preserve">(3) Aufgehoben werden die bisher geltenden kostenrechtlichen Vorschriften, soweit sie für das Verfahren der Gerichte mit landwirtschaftlichen Beisitzern gelten, einschließlich der Vorschriften über Rechtsanwaltsgebühren. Die bisher geltenden Vorschriften über die Höhe des Geschäftswertes und der gerichtlichen Kosten gelten jedoch fort</w:t>
      </w:r>
    </w:p>
    <w:p>
      <w:pPr>
        <w:ind w:left="420"/>
      </w:pPr>
      <w:r>
        <w:t xml:space="preserve">a) in den unter § 1 Nr. 5 fallenden Verfahren,</w:t>
      </w:r>
    </w:p>
    <w:p>
      <w:pPr>
        <w:ind w:left="420"/>
      </w:pPr>
      <w:r>
        <w:t xml:space="preserve">b) in den nicht unter § 1 fallenden Verfahren, die auf in Kraft bleibenden oder unberührt bleibenden Vorschriften beruhen (§ 50).</w:t>
      </w:r>
    </w:p>
    <w:p>
      <w:r>
        <w:rPr>
          <w:color w:val="555555"/>
          <w:sz w:val="17"/>
        </w:rPr>
        <w:t xml:space="preserve">Zitiervorschlag: § 60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