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Die ehrenamtlichen Richter sollen zu den Sitzungen nach der Reihenfolge einer Liste herangezogen werden, die der Vorsitzende des Gerichts vor Beginn des Geschäftsjahres aufstellt. Hierbei kann er bestimmen, daß einzelne dieser ehrenamtlichen Richter bei Verhinderung eines anderen herangezogen werden (stellvertretende ehrenamtliche Richter). Würden hiernach bei der Verhandlung in Pachtsachen zwei ehrenamtliche Richter, die beide Pächter oder beide Verpächter sind, oder in einer in § 1 Nr. 4 bezeichneten Sache zwei ehrenamtliche Richter, die beide dem Personenkreis des § 35 des Bundesvertriebenengesetzes angehören oder nicht angehören, teilnehmen, so gilt der auf Grund der Liste als zweiter heranstehende ehrenamtliche Richter für die Sitzung als verhindert.</w:t>
      </w:r>
    </w:p>
    <w:p>
      <w:r>
        <w:t xml:space="preserve">(2) Im übrigen ist der Vorsitzende zu einer Änderung der Reihenfolge nur befugt, wenn ehrenamtliche Richter während des Geschäftsjahres ausscheiden, wenn neue ehrenamtliche Richter eintreten oder wenn die Teilnahme an einer früheren Verhandlung in derselben Sache oder die Wahrnehmung eines Termins an Ort und Stelle eine Änderung geboten erscheinen läßt.</w:t>
      </w:r>
    </w:p>
    <w:p>
      <w:r>
        <w:t xml:space="preserve">(3) Für die Entbindung eines ehrenamtlichen Richters von der Dienstleistung an bestimmten Sitzungstagen gilt § 54 des Gerichtsverfassungsgesetzes sinngemäß.</w:t>
      </w:r>
    </w:p>
    <w:p>
      <w:r>
        <w:rPr>
          <w:color w:val="555555"/>
          <w:sz w:val="17"/>
        </w:rPr>
        <w:t xml:space="preserve">Zitiervorschlag: § 6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