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(entfallen)</w:t>
      </w:r>
    </w:p>
    <w:p>
      <w:r>
        <w:t xml:space="preserve">(2) Die Länder können bestimmen, daß die Vorschriften dieses Gesetzes auf Verträge über die Pacht von Fischereirechten sowie in den auf Grund des § 11 des Landpachtverkehrsgesetzes geregelten Verfahren ganz oder teilweise anzuwenden sind; sie können zusätzliche Vorschriften erlassen, die den Besonderheiten dieser Verfahren entsprechen.</w:t>
      </w:r>
    </w:p>
    <w:p>
      <w:r>
        <w:rPr>
          <w:color w:val="555555"/>
          <w:sz w:val="17"/>
        </w:rPr>
        <w:t xml:space="preserve">Zitiervorschlag: § 51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