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bürgerlichen Rechtsstreitigkeiten des § 1 Nr. 1a findet die Zivilprozeßordnung Anwendung. Jedoch treten die §§ 10 und 20 Abs. 1 und 2 dieses Gesetzes an die Stelle der entsprechenden Vorschriften der Zivilprozeßordnung; § 315 Abs. 1 Satz 1 der Zivilprozeßordnung gilt mit der Maßgabe, daß es der Unterschrift der ehrenamtlichen Richter nicht bedarf.</w:t>
      </w:r>
    </w:p>
    <w:p>
      <w:r>
        <w:t xml:space="preserve">(2) Die §§ 13 und 19 dieses Gesetzes sind entsprechend anzuwenden.</w:t>
      </w:r>
    </w:p>
    <w:p>
      <w:r>
        <w:rPr>
          <w:color w:val="555555"/>
          <w:sz w:val="17"/>
        </w:rPr>
        <w:t xml:space="preserve">Zitiervorschlag: § 48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