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Sind an einem Verfahren mehrere Personen beteiligt, so hat das Gericht nach billigem Ermessen zu entscheiden, wer die Kosten zu tragen hat und wie sie zu verteilen sind.</w:t>
      </w:r>
    </w:p>
    <w:p>
      <w:r>
        <w:t xml:space="preserve">(2) Bei einem Verfahren, das von der nach Landesrecht zuständigen Behörde, der Genehmigungsbehörde, der übergeordneten Behörde (§ 32 Absatz 2) oder der Siedlungsbehörde eingeleitet ist oder auf ihrem Antrag oder ihrer Beschwerde beruht, ist nach billigem Ermessen darüber zu entscheiden, ob und inwieweit anderen am Verfahren Beteiligten die Kosten aufzuerlegen sind.</w:t>
      </w:r>
    </w:p>
    <w:p>
      <w:r>
        <w:rPr>
          <w:color w:val="555555"/>
          <w:sz w:val="17"/>
        </w:rPr>
        <w:t xml:space="preserve">Zitiervorschlag: § 44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