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LwVfG</w:t>
      </w:r>
    </w:p>
    <w:p>
      <w:r>
        <w:rPr>
          <w:color w:val="555555"/>
          <w:sz w:val="18"/>
        </w:rPr>
        <w:t xml:space="preserve">Gesetz über das gerichtliche Verfahren in Landwirtschaftssachen</w:t>
      </w:r>
    </w:p>
    <w:p>
      <w:r>
        <w:rPr>
          <w:color w:val="555555"/>
          <w:sz w:val="18"/>
        </w:rPr>
        <w:t xml:space="preserve">Stand: 10.06.2019 (konsolidierte Textfassung, kein amtliches Inkrafttretensdatum)</w:t>
      </w:r>
    </w:p>
    <w:p>
      <w:r>
        <w:t xml:space="preserve">(1) Die ehrenamtlichen Richter der Amtsgerichte und des Oberlandesgerichts beruft der Präsident des Oberlandesgerichts auf Grund einer Vorschlagsliste. Er bestimmt für jedes Gericht die erforderliche Zahl der ehrenamtlichen Richter.</w:t>
      </w:r>
    </w:p>
    <w:p>
      <w:r>
        <w:t xml:space="preserve">(2) Die Länder bestimmen, wie die Vorschlagsliste aufzustellen ist. Die Liste ist dem Präsidenten des Oberlandesgerichts mindestens drei Monate vor Ablauf der Amtszeit der ehrenamtlichen Richter für jedes Gericht getrennt vorzulegen.</w:t>
      </w:r>
    </w:p>
    <w:p>
      <w:r>
        <w:t xml:space="preserve">(3) Als ehrenamtliche Richter sind nur Deutsche vorzuschlagen,</w:t>
      </w:r>
    </w:p>
    <w:p>
      <w:pPr>
        <w:ind w:left="420"/>
      </w:pPr>
      <w:r>
        <w:t xml:space="preserve">1. die die Landwirtschaft in dem Bezirk selbständig im Haupt- oder Nebenberuf ausüben oder ausgeübt haben,</w:t>
      </w:r>
    </w:p>
    <w:p>
      <w:pPr>
        <w:ind w:left="420"/>
      </w:pPr>
      <w:r>
        <w:t xml:space="preserve">2. bei denen kein Hinderungsgrund nach §§ 32 bis 34 des Gerichtsverfassungsgesetzes vorliegt,</w:t>
      </w:r>
    </w:p>
    <w:p>
      <w:pPr>
        <w:ind w:left="420"/>
      </w:pPr>
      <w:r>
        <w:t xml:space="preserve">3. die nicht Aufgaben der nach Landesrecht zuständigen Behörden auf den in § 1 Nr. 1 und 2 bezeichneten Sachgebieten wahrnehmen,</w:t>
      </w:r>
    </w:p>
    <w:p>
      <w:pPr>
        <w:ind w:left="420"/>
      </w:pPr>
      <w:r>
        <w:t xml:space="preserve">4. die nicht dem Vorstand oder der Geschäftsführung einer land- und forstwirtschaftlichen Berufsvertretung oder ihrer Untergliederungen angehören, soweit diese nach § 32 Abs. 1 am gerichtlichen Verfahren beteiligt werden.</w:t>
      </w:r>
    </w:p>
    <w:p>
      <w:r>
        <w:t xml:space="preserve">(4) Die Zahl der vorzuschlagenden Personen soll das Eineinhalbfache der erforderlichen Zahl der ehrenamtlichen Richter betragen.</w:t>
      </w:r>
    </w:p>
    <w:p>
      <w:r>
        <w:t xml:space="preserve">(5) Scheidet ein ehrenamtlicher Richter nach seiner Berufung aus, so kann der Präsident des Oberlandesgerichts für die restliche Amtszeit des ausgeschiedenen ehrenamtlichen Richters einen neuen ehrenamtlichen Richter auf Grund der Vorschlagsliste berufen.</w:t>
      </w:r>
    </w:p>
    <w:p>
      <w:r>
        <w:t xml:space="preserve">(6) Diese Vorschriften gelten für die ehrenamtlichen Richter des Bundesgerichtshofes entsprechend mit der Maßgabe, daß diese von dem Präsidenten des Bundesgerichtshofes auf Grund einer Vorschlagsliste berufen werden, die von dem Zentralausschuß der Deutschen Landwirtschaft aufgestellt wird.</w:t>
      </w:r>
    </w:p>
    <w:p>
      <w:r>
        <w:rPr>
          <w:color w:val="555555"/>
          <w:sz w:val="17"/>
        </w:rPr>
        <w:t xml:space="preserve">Zitiervorschlag: § 4 LwVfG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https://recht.nulegal.eu/gesetze/LwVfG/4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