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gerichtlichen Entscheidungen in der Hauptsache werden erst mit dem Eintritt der Rechtskraft wirksam.</w:t>
      </w:r>
    </w:p>
    <w:p>
      <w:r>
        <w:t xml:space="preserve">(2) Hat der Beschluß einen vollstreckbaren Inhalt, so kann das Gericht ihn gegen oder ohne Sicherheitsleistung für vorläufig vollstreckbar erklären, dem Schuldner auf Antrag auch nachlassen, die Vollstreckung durch Sicherheitsleistung abzuwenden.</w:t>
      </w:r>
    </w:p>
    <w:p>
      <w:r>
        <w:rPr>
          <w:color w:val="555555"/>
          <w:sz w:val="17"/>
        </w:rPr>
        <w:t xml:space="preserve">Zitiervorschlag: § 30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