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LwVfG</w:t>
      </w:r>
    </w:p>
    <w:p>
      <w:r>
        <w:rPr>
          <w:color w:val="555555"/>
          <w:sz w:val="18"/>
        </w:rPr>
        <w:t xml:space="preserve">Gesetz über das gerichtliche Verfahren in Landwirtschaftssachen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einstweiligen Anordnungen kann von der Zuziehung der ehrenamtlichen Richter und von der Anwendung des § 14 Abs. 2 abgesehen werden, wenn durch Verzögerung der einstweiligen Anordnung ein Nachteil zu entstehen droht.</w:t>
      </w:r>
    </w:p>
    <w:p>
      <w:r>
        <w:rPr>
          <w:color w:val="555555"/>
          <w:sz w:val="17"/>
        </w:rPr>
        <w:t xml:space="preserve">Zitiervorschlag: § 18 LwVfG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https://recht.nulegal.eu/gesetze/LwVfG/18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