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hat auf Antrag eines Beteiligten eine mündliche Verhandlung anzuordnen. Dies gilt nicht für Verfahren vor dem Bundesgerichtshof.</w:t>
      </w:r>
    </w:p>
    <w:p>
      <w:r>
        <w:t xml:space="preserve">(2) Wird eine mündliche Verhandlung anberaumt, so sind die Beteiligten zu laden.</w:t>
      </w:r>
    </w:p>
    <w:p>
      <w:r>
        <w:t xml:space="preserve">(3) Bei einer Beweisaufnahme sind § 279 Abs. 2, §§ 357, 367 Abs. 1, §§ 397, 402 der Zivilprozeßordnung sinngemäß anzuwenden.</w:t>
      </w:r>
    </w:p>
    <w:p>
      <w:r>
        <w:t xml:space="preserve">(4) Über das Ergebnis einer Beweisaufnahme ist stets mündlich zu verhandeln, wenn die Beteiligten nicht übereinstimmend auf mündliche Verhandlung verzichten.</w:t>
      </w:r>
    </w:p>
    <w:p>
      <w:r>
        <w:t xml:space="preserve">(5) Die Vorschriften der §§ 159 bis 165 der Zivilprozeßordnung über die Niederschrift gelten sinngemäß.</w:t>
      </w:r>
    </w:p>
    <w:p>
      <w:r>
        <w:rPr>
          <w:color w:val="555555"/>
          <w:sz w:val="17"/>
        </w:rPr>
        <w:t xml:space="preserve">Zitiervorschlag: § 15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