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LwVfG</w:t>
      </w:r>
    </w:p>
    <w:p>
      <w:r>
        <w:rPr>
          <w:color w:val="555555"/>
          <w:sz w:val="18"/>
        </w:rPr>
        <w:t xml:space="preserve">Gesetz über das gerichtliche Verfahren in Landwirtschaftssachen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wird, soweit nicht etwas anderes bestimmt ist, nur auf Antrag eingeleitet.</w:t>
      </w:r>
    </w:p>
    <w:p>
      <w:r>
        <w:t xml:space="preserve">(2) Das Gericht hat vor seiner Entscheidung den Beteiligten Gelegenheit zu geben, sich zur Sache zu äußern. Für die Vorbereitung der Entscheidung gelten die Vorschriften des § 139 und des § 273 Abs 1, 2, 3 Satz 1 und Abs. 4 der Zivilprozeßordnung sinngemäß.</w:t>
      </w:r>
    </w:p>
    <w:p>
      <w:r>
        <w:rPr>
          <w:color w:val="555555"/>
          <w:sz w:val="17"/>
        </w:rPr>
        <w:t xml:space="preserve">Zitiervorschlag: § 14 LwVfG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https://recht.nulegal.eu/gesetze/LwVfG/14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