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LwVfG</w:t>
      </w:r>
    </w:p>
    <w:p>
      <w:r>
        <w:rPr>
          <w:color w:val="555555"/>
          <w:sz w:val="18"/>
        </w:rPr>
        <w:t xml:space="preserve">Gesetz über das gerichtliche Verfahren in Landwirtschaftssachen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Bestimmungen dieses Gesetzes gelten in den Verfahren auf Grund der Vorschriften über</w:t>
      </w:r>
    </w:p>
    <w:p>
      <w:pPr>
        <w:ind w:left="420"/>
      </w:pPr>
      <w:r>
        <w:t xml:space="preserve">1. die Anzeige und Beanstandung von Landpachtverträgen im Landpachtverkehrsgesetz vom 8. November 1985 (BGBl. I S. 2075) und über den Landpachtvertrag in den Fällen des § 585b Abs. 2, der §§ 588, 590 Abs. 2, des § 591 Abs. 2 und 3, der §§ 593, 594d Abs. 2 und der §§ 595 und 595a Abs. 2 und 3 des Bürgerlichen Gesetzbuchs,</w:t>
      </w:r>
    </w:p>
    <w:p>
      <w:pPr>
        <w:ind w:left="420"/>
      </w:pPr>
      <w:r>
        <w:t xml:space="preserve">1a. den Landpachtvertrag im übrigen,</w:t>
      </w:r>
    </w:p>
    <w:p>
      <w:pPr>
        <w:ind w:left="420"/>
      </w:pPr>
      <w:r>
        <w:t xml:space="preserve">2. die rechtsgeschäftliche Veräußerung, die Änderung oder Aufhebung einer Auflage, die gerichtliche Zuweisung eines Betriebes sowie die Festsetzung von Zwangsgeld im Grundstückverkehrsgesetz vom 28. Juli 1961 (Bundesgesetzbl. I S. 1091),</w:t>
      </w:r>
    </w:p>
    <w:p>
      <w:pPr>
        <w:ind w:left="420"/>
      </w:pPr>
      <w:r>
        <w:t xml:space="preserve">3. Einwendungen gegen das siedlungsrechtliche Vorkaufsrecht in § 10 des Reichssiedlungsgesetzes,</w:t>
      </w:r>
    </w:p>
    <w:p>
      <w:pPr>
        <w:ind w:left="420"/>
      </w:pPr>
      <w:r>
        <w:t xml:space="preserve">4. die Aufhebung von Pacht- und sonstigen Nutzungsverhältnissen sowie die Inanspruchnahme von Gebäuden oder Land in §§ 59 und 63 Abs. 3 und 4 des Bundesvertriebenengesetzes in der Fassung der Bekanntmachung vom 3. September 1971 (BGBl. I S. 1565, 1807), ferner die Festsetzung des Ersatzanspruchs und der Entschädigung nach § 7 Abs. 2 des Gesetzes zur Ergänzung des Reichssiedlungsgesetzes in der im Bundesgesetzblatt Teil III, Gliederungsnummer 2331-2, veröffentlichten bereinigten Fassung,</w:t>
      </w:r>
    </w:p>
    <w:p>
      <w:pPr>
        <w:ind w:left="420"/>
      </w:pPr>
      <w:r>
        <w:t xml:space="preserve">5. das Anerbenrecht einschließlich der Versorgungsansprüche bei Höfen, Hofgütern, Landgütern und Anerbengütern,</w:t>
      </w:r>
    </w:p>
    <w:p>
      <w:pPr>
        <w:ind w:left="420"/>
      </w:pPr>
      <w:r>
        <w:t xml:space="preserve">6. Angelegenheiten, die mit der Aufhebung der früheren Vorschriften über Erbhöfe zusammenhängen,</w:t>
      </w:r>
    </w:p>
    <w:p>
      <w:r>
        <w:t xml:space="preserve">jedoch in den in den Nummern 5 und 6 bezeichneten Verfahren nur, soweit die beim Inkrafttreten dieses Gesetzes für diese geltenden oder die künftig erlassenen Vorschriften die Zuständigkeit von Gerichten mit ehrenamtlichen Richtern vorsehen.</w:t>
      </w:r>
    </w:p>
    <w:p>
      <w:r>
        <w:rPr>
          <w:color w:val="555555"/>
          <w:sz w:val="17"/>
        </w:rPr>
        <w:t xml:space="preserve">Zitiervorschlag: § 1 LwVfG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https://recht.nulegal.eu/gesetze/LwVfG/1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