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LwStV (Brandenburg) — Inkrafttreten</w:t>
      </w:r>
    </w:p>
    <w:p>
      <w:r>
        <w:rPr>
          <w:color w:val="555555"/>
          <w:sz w:val="18"/>
        </w:rPr>
        <w:t xml:space="preserve">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Vertrag bedarf der Ratifikation und tritt am 16. Oktober 2020 in Kraft.</w:t>
      </w:r>
    </w:p>
    <w:p>
      <w:r>
        <w:t xml:space="preserve">Berlin, den 10. Juli 2020</w:t>
      </w:r>
    </w:p>
    <w:p>
      <w:r>
        <w:t xml:space="preserve">Für das Land Berlin:</w:t>
      </w:r>
    </w:p>
    <w:p>
      <w:r>
        <w:t xml:space="preserve">Der Regierende Bürgermeister</w:t>
      </w:r>
    </w:p>
    <w:p>
      <w:r>
        <w:t xml:space="preserve">Michael Müller</w:t>
      </w:r>
    </w:p>
    <w:p>
      <w:r>
        <w:t xml:space="preserve">Potsdam, den 3. August 2020</w:t>
      </w:r>
    </w:p>
    <w:p>
      <w:r>
        <w:t xml:space="preserve">Für das Land Brandenburg: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19 LwStV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https://recht.nulegal.eu/gesetze/LwStV/19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