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LwStV (Brandenburg) — Datenschutz und Akteneinsicht</w:t>
      </w:r>
    </w:p>
    <w:p>
      <w:r>
        <w:rPr>
          <w:color w:val="555555"/>
          <w:sz w:val="18"/>
        </w:rPr>
        <w:t xml:space="preserve">Landwirtschaftsstaatsvertrag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Verarbeitung einschließlich der Erhebung personenbezogener Daten und die Akteneinsicht gilt das Recht des Landes Brandenburg, soweit nicht Unionsrecht oder Bundesrecht vorgehen.</w:t>
      </w:r>
    </w:p>
    <w:p>
      <w:r>
        <w:t xml:space="preserve">(2) Die oder der Landesbeauftragte für den Datenschutz und für das Recht auf Akteneinsicht Brandenburg überwacht im Benehmen mit der oder dem Berliner Beauftragten für Datenschutz und Informationsfreiheit die Einhaltung der Bestimmungen zum Datenschutz und zur Akteneinsicht.</w:t>
      </w:r>
    </w:p>
    <w:p>
      <w:r>
        <w:rPr>
          <w:color w:val="555555"/>
          <w:sz w:val="17"/>
        </w:rPr>
        <w:t xml:space="preserve">Zitiervorschlag: Art 12 LwStV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https://recht.nulegal.eu/gesetze/LwStV/12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