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LwRentBkG — Gewinnverwendung</w:t>
      </w:r>
    </w:p>
    <w:p>
      <w:r>
        <w:rPr>
          <w:color w:val="555555"/>
          <w:sz w:val="18"/>
        </w:rPr>
        <w:t xml:space="preserve">Gesetz über die Landwirtschaftliche Rentenbank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Bilanzgewinn darf nur für eine das Allgemeininteresse wahrende Förderung der Landwirtschaft und des ländlichen Raumes verwendet werden.</w:t>
      </w:r>
    </w:p>
    <w:p>
      <w:r>
        <w:t xml:space="preserve">(2) Höchstens die Hälfte des zur Verteilung kommenden Betrages fließt einem Förderungsfonds zu, über dessen Verwendung die Anstaltsversammlung nach von ihr zu erlassenden Richtlinien entscheidet.</w:t>
      </w:r>
    </w:p>
    <w:p>
      <w:r>
        <w:t xml:space="preserve">(3) Mindestens die Hälfte des zur Verteilung kommenden Betrages soll dem Zweckvermögen des Bundes nach dem Gesetz über das Zweckvermögen des Bundes bei der Landwirtschaftlichen Rentenbank vom 12. August 2005 (BGBl. I S. 2363) zugeführt werden, solange dieses von der Bank verwaltet wird und solange die Bank von allen Steuern vom Vermögen, vom Einkommen und vom Gewerbebetrieb befreit ist.</w:t>
      </w:r>
    </w:p>
    <w:p>
      <w:r>
        <w:rPr>
          <w:color w:val="555555"/>
          <w:sz w:val="17"/>
        </w:rPr>
        <w:t xml:space="preserve">Zitiervorschlag: § 9 LwRentBkG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https://recht.nulegal.eu/gesetze/LwRentBkG/9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