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LwRentBkG — Sonstige Geschäfte</w:t>
      </w:r>
    </w:p>
    <w:p>
      <w:r>
        <w:rPr>
          <w:color w:val="555555"/>
          <w:sz w:val="18"/>
        </w:rPr>
        <w:t xml:space="preserve">Gesetz über die Landwirtschaftliche Rentenbank</w:t>
      </w:r>
    </w:p>
    <w:p>
      <w:r>
        <w:rPr>
          <w:color w:val="555555"/>
          <w:sz w:val="18"/>
        </w:rPr>
        <w:t xml:space="preserve">Stand: 10.06.2019 (konsolidierte Textfassung, kein amtliches Inkrafttretensdatum)</w:t>
      </w:r>
    </w:p>
    <w:p>
      <w:r>
        <w:t xml:space="preserve">(1) Die Bank kann ferner alle Geschäfte und Dienstleistungen betreiben, die mit der Erfüllung ihrer Aufgaben in direktem Zusammenhang stehen. In diesem Rahmen darf sie insbesondere Forderungen und Wertpapiere kaufen und verkaufen sowie Geschäfte und Maßnahmen zur Steuerung und Sicherstellung ihrer finanziellen Liquidität durchführen (Treasury Management) und alle für die Risikosteuerung erforderlichen Geschäfte betreiben.</w:t>
      </w:r>
    </w:p>
    <w:p>
      <w:r>
        <w:t xml:space="preserve">(2) Der Effektenhandel, das Einlagengeschäft und Zahlungsdienste im Sinne des § 1 Absatz 1 Satz 2 des Zahlungsdiensteaufsichtsgesetzes sind der Bank nur für eigene Rechnung und nur insoweit gestattet, als sie mit der Erfüllung der öffentlichen Förderaufgaben in direktem Zusammenhang stehen.</w:t>
      </w:r>
    </w:p>
    <w:p>
      <w:r>
        <w:rPr>
          <w:color w:val="555555"/>
          <w:sz w:val="17"/>
        </w:rPr>
        <w:t xml:space="preserve">Zitiervorschlag: § 4 LwRentBkG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https://recht.nulegal.eu/gesetze/LwRentBkG/4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