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LwRentBkG — Kapital</w:t>
      </w:r>
    </w:p>
    <w:p>
      <w:r>
        <w:rPr>
          <w:color w:val="555555"/>
          <w:sz w:val="18"/>
        </w:rPr>
        <w:t xml:space="preserve">Gesetz über die Landwirtschaftliche Rentenbank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Grundkapital der Bank beträgt 135 Millionen Euro.</w:t>
      </w:r>
    </w:p>
    <w:p>
      <w:r>
        <w:t xml:space="preserve">(2) Zur Verstärkung ihres Kapitals ist eine Hauptrücklage zu bilden. Dieser ist mindestens die Hälfte des nach Zuführung zur Deckungsrücklage (Absatz 3) verbleibenden Jahresüberschusses zuzuweisen.</w:t>
      </w:r>
    </w:p>
    <w:p>
      <w:r>
        <w:t xml:space="preserve">(3) Neben der Hauptrücklage (Absatz 2) ist eine besondere Deckungsrücklage zu bilden; sie dient der Schaffung zusätzlicher Sicherheiten für die von der Bank ausgegebenen gedeckten Schuldverschreibungen. Die Deckungsrücklage darf 5 vom Hundert des Nennbetrages der jeweils im Umlauf befindlichen gedeckten Schuldverschreibungen nicht überschreiten. Ihr dürfen nicht mehr als 50 vom Hundert des Jahresüberschusses zugewiesen werden.</w:t>
      </w:r>
    </w:p>
    <w:p>
      <w:r>
        <w:rPr>
          <w:color w:val="555555"/>
          <w:sz w:val="17"/>
        </w:rPr>
        <w:t xml:space="preserve">Zitiervorschlag: § 2 LwRentBkG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https://recht.nulegal.eu/gesetze/LwRentBkG/2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