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1a LwRentBkG — Haftung des Bundes</w:t>
      </w:r>
    </w:p>
    <w:p>
      <w:r>
        <w:rPr>
          <w:color w:val="555555"/>
          <w:sz w:val="18"/>
        </w:rPr>
        <w:t xml:space="preserve">Gesetz über die Landwirtschaftliche Rentenbank</w:t>
      </w:r>
    </w:p>
    <w:p>
      <w:r>
        <w:rPr>
          <w:color w:val="555555"/>
          <w:sz w:val="18"/>
        </w:rPr>
        <w:t xml:space="preserve">Stand: 10.06.2019 (konsolidierte Textfassung, kein amtliches Inkrafttretensdatum)</w:t>
      </w:r>
    </w:p>
    <w:p>
      <w:r>
        <w:t xml:space="preserve">Der Bund haftet für die von der Bank aufgenommenen Darlehen und begebenen Schuldverschreibungen, die als Festgeschäfte ausgestalteten Termingeschäfte, die Rechte aus Optionen und andere Kredite an die Bank sowie für Kredite an Dritte, soweit sie von der Bank ausdrücklich gewährleistet werden.</w:t>
      </w:r>
    </w:p>
    <w:p>
      <w:r>
        <w:rPr>
          <w:color w:val="555555"/>
          <w:sz w:val="17"/>
        </w:rPr>
        <w:t xml:space="preserve">Zitiervorschlag: § 1a LwRentBkG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https://recht.nulegal.eu/gesetze/LwRentBkG/1a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