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LwRentBkG — Arreste und Zwangsvollstreckungen</w:t>
      </w:r>
    </w:p>
    <w:p>
      <w:r>
        <w:rPr>
          <w:color w:val="555555"/>
          <w:sz w:val="18"/>
        </w:rPr>
        <w:t xml:space="preserve">Gesetz über die Landwirtschaftliche Rentenbank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Arreste und Zwangsvollstreckungen in Vermögenswerte, die in das Deckungsregister nach § 13 Absatz 3 eingetragen sind, ist § 29 des Pfandbriefgesetzes entsprechend anzuwenden.</w:t>
      </w:r>
    </w:p>
    <w:p>
      <w:r>
        <w:rPr>
          <w:color w:val="555555"/>
          <w:sz w:val="17"/>
        </w:rPr>
        <w:t xml:space="preserve">Zitiervorschlag: § 14 LwRentBkG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https://recht.nulegal.eu/gesetze/LwRentBkG/14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LwRentBkG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