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13a LwRentBkG — Mündelsicherheit</w:t>
      </w:r>
    </w:p>
    <w:p>
      <w:r>
        <w:rPr>
          <w:color w:val="555555"/>
          <w:sz w:val="18"/>
        </w:rPr>
        <w:t xml:space="preserve">Gesetz über die Landwirtschaftliche Rentenbank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Schuldverschreibungen der Bank, die nicht auf ausländische Zahlungsmittel lauten, sind zur Anlegung von Mündelgeldern geeignet.</w:t>
      </w:r>
    </w:p>
    <w:p>
      <w:r>
        <w:rPr>
          <w:color w:val="555555"/>
          <w:sz w:val="17"/>
        </w:rPr>
        <w:t xml:space="preserve">Zitiervorschlag: § 13a LwRentBkG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https://recht.nulegal.eu/gesetze/LwRentBkG/13a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