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LwRentBkG — Dienstsiegel und öffentliche Urkunden</w:t>
      </w:r>
    </w:p>
    <w:p>
      <w:r>
        <w:rPr>
          <w:color w:val="555555"/>
          <w:sz w:val="18"/>
        </w:rPr>
        <w:t xml:space="preserve">Gesetz über die Landwirtschaftliche Rentenbank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Bank ist berechtigt, ein Dienstsiegel zu führen. § 39a des Beurkundungsgesetzes ist entsprechend anzuwenden. Ordnungsgemäß unterschriebene und mit dem Abdruck des Dienstsiegels versehene Erklärungen der Bank haben die Eigenschaft öffentlich beglaubigter Urkunden.</w:t>
      </w:r>
    </w:p>
    <w:p>
      <w:r>
        <w:rPr>
          <w:color w:val="555555"/>
          <w:sz w:val="17"/>
        </w:rPr>
        <w:t xml:space="preserve">Zitiervorschlag: § 12 LwRentBkG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https://recht.nulegal.eu/gesetze/LwRentBkG/12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