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LwRentBkG — Rechtsform, Sitz</w:t>
      </w:r>
    </w:p>
    <w:p>
      <w:r>
        <w:rPr>
          <w:color w:val="555555"/>
          <w:sz w:val="18"/>
        </w:rPr>
        <w:t xml:space="preserve">Gesetz über die Landwirtschaftliche Rentenbank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Landwirtschaftliche Rentenbank, nachstehend Bank genannt, ist eine bundesunmittelbare Anstalt des öffentlichen Rechts.</w:t>
      </w:r>
    </w:p>
    <w:p>
      <w:r>
        <w:t xml:space="preserve">(2) Die Bank hat ihren Sitz in Frankfurt am Main. Sie unterhält keine Zweigniederlassungen.</w:t>
      </w:r>
    </w:p>
    <w:p>
      <w:r>
        <w:rPr>
          <w:color w:val="555555"/>
          <w:sz w:val="17"/>
        </w:rPr>
        <w:t xml:space="preserve">Zitiervorschlag: § 1 LwRentBkG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https://recht.nulegal.eu/gesetze/LwRentBkG/1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