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LwMstrPrV — Anrechnung anderer Prüfungsleistungen</w:t>
      </w:r>
    </w:p>
    <w:p>
      <w:r>
        <w:rPr>
          <w:color w:val="555555"/>
          <w:sz w:val="18"/>
        </w:rPr>
        <w:t xml:space="preserve">Verordnung über die Anforderungen in der Meisterprüfung für den Beruf Landwirt/Landwirtin</w:t>
      </w:r>
    </w:p>
    <w:p>
      <w:r>
        <w:rPr>
          <w:color w:val="555555"/>
          <w:sz w:val="18"/>
        </w:rPr>
        <w:t xml:space="preserve">Stand: 10.06.2019 (konsolidierte Textfassung, kein amtliches Inkrafttretensdatum)</w:t>
      </w:r>
    </w:p>
    <w:p>
      <w:r>
        <w:t xml:space="preserve">Auf Antrag kann die zuständige Stelle den Prüfungsteilnehmer oder die Prüfungsteilnehmerin von der Prüfung einzelner Prüfungsbestandteile nach § 3 Abs. 3, § 4 Abs. 3 und § 5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6 LwMstrPrV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https://recht.nulegal.eu/gesetze/LwMstrPrV/6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