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LwHwPrüfAnerkV — Inkrafttreten, Außerkrafttreten</w:t>
      </w:r>
    </w:p>
    <w:p>
      <w:r>
        <w:rPr>
          <w:color w:val="555555"/>
          <w:sz w:val="18"/>
        </w:rPr>
        <w:t xml:space="preserve">Verordnung über die Anforderung an die fachliche Eignung und die Anerkennung von Prüfungen zum Nachweis der fachlichen Eignung für die Berufsausbildung in den Berufen der Landwirtschaft und der Hauswirtschaft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LwHwPrüfAnerkV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https://recht.nulegal.eu/gesetze/LwHwPr%C3%BCfAnerkV/4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