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LwHwPrüfAnerkV — Anforderungen an die Fachschulen und Bildungsgänge</w:t>
      </w:r>
    </w:p>
    <w:p>
      <w:r>
        <w:rPr>
          <w:color w:val="555555"/>
          <w:sz w:val="18"/>
        </w:rPr>
        <w:t xml:space="preserve">Verordnung über die Anforderung an die fachliche Eignung und die Anerkennung von Prüfungen zum Nachweis der fachlichen Eignung für die Berufsausbildung in den Berufen der Landwirtschaft und der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Errichtung, Betrieb und Einrichtung der Schulen müssen den für sie geltenden Vorschriften des Landesrechts entsprechen. Sie müssen der staatlichen Schulaufsicht unterliegen.</w:t>
      </w:r>
    </w:p>
    <w:p>
      <w:r>
        <w:t xml:space="preserve">(2) Aufnahmevoraussetzung muss eine abgeschlossene Berufsausbildung in der jeweiligen Fachrichtung sein. Die Dauer der fachschulischen Ausbildung muss insgesamt mindestens 2.400 Unterrichtsstunden betragen.</w:t>
      </w:r>
    </w:p>
    <w:p>
      <w:r>
        <w:t xml:space="preserve">(3) Mindestens 1.800 Unterrichtsstunden des Gesamtunterrichts müssen auf den fachrichtungsbezogenen Lernbereich (Fachunterricht) entfallen.</w:t>
      </w:r>
    </w:p>
    <w:p>
      <w:r>
        <w:t xml:space="preserve">(4) Die Dauer der fachschulischen Ausbildung in gestuften Bildungsgängen an Fachschulen im Fachbereich Agrarwirtschaft muss insgesamt mindestens 2.400 Unterrichtsstunden umfassen. Absatz 3 gilt entsprechend.</w:t>
      </w:r>
    </w:p>
    <w:p>
      <w:r>
        <w:rPr>
          <w:color w:val="555555"/>
          <w:sz w:val="17"/>
        </w:rPr>
        <w:t xml:space="preserve">Zitiervorschlag: § 3 LwHwPrüfAnerkV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https://recht.nulegal.eu/gesetze/LwHwPr%C3%BCfAnerkV/3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