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LwHwPrüfAnerkV — Anerkennungen von Prüfungen</w:t>
      </w:r>
    </w:p>
    <w:p>
      <w:r>
        <w:rPr>
          <w:color w:val="555555"/>
          <w:sz w:val="18"/>
        </w:rPr>
        <w:t xml:space="preserve">Verordnung über die Anforderung an die fachliche Eignung und die Anerkennung von Prüfungen zum Nachweis der fachlichen Eignung für die Berufsausbildung in den Berufen der Landwirtschaft und der Hauswirtschaft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Prüfung gemäß § 1 Nr. 1 werden anerkannt:</w:t>
      </w:r>
    </w:p>
    <w:p>
      <w:pPr>
        <w:ind w:left="420"/>
      </w:pPr>
      <w:r>
        <w:t xml:space="preserve">1. Meisterprüfungen gemäß der Anlage 1,</w:t>
      </w:r>
    </w:p>
    <w:p>
      <w:pPr>
        <w:ind w:left="420"/>
      </w:pPr>
      <w:r>
        <w:t xml:space="preserve">2. Abschlussprüfungen an deutschen Fachschulen gemäß der Anlage 2, wenn diese Einrichtungen und Bildungsgänge zum Zeitpunkt der Prüfung die Anforderungen des § 3 erfüllen.</w:t>
      </w:r>
    </w:p>
    <w:p>
      <w:r>
        <w:t xml:space="preserve">(2) Sonstige Prüfungen vor einer Prüfungsbehörde werden gemäß § 1 Nr. 1 anerkannt, wenn die jeweils zuständige Stelle nach Anhörung des Berufsbildungsausschusses die Gleichwertigkeit mit den Prüfungen gemäß Absatz 1 Nr. 1 oder 2 bescheinigt. § 30 Abs. 6 des Berufsbildungsgesetzes bleibt unberührt.</w:t>
      </w:r>
    </w:p>
    <w:p>
      <w:r>
        <w:rPr>
          <w:color w:val="555555"/>
          <w:sz w:val="17"/>
        </w:rPr>
        <w:t xml:space="preserve">Zitiervorschlag: § 2 LwHwPrüfAnerkV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https://recht.nulegal.eu/gesetze/LwHwPr%C3%BCfAnerkV/2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