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LwHwPrüfAnerkV — Anforderungen an die fachliche Eignung für die Berufsausbildung in den Berufen der Landwirtschaft und der Hauswirtschaft</w:t>
      </w:r>
    </w:p>
    <w:p>
      <w:r>
        <w:rPr>
          <w:color w:val="555555"/>
          <w:sz w:val="18"/>
        </w:rPr>
        <w:t xml:space="preserve">Verordnung über die Anforderung an die fachliche Eignung und die Anerkennung von Prüfungen zum Nachweis der fachlichen Eignung für die Berufsausbildung in den Berufen der Landwirtschaft und der Hauswirtschaft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Ausbilder und Ausbilderinnen in den Berufen der Landwirtschaft und der Hauswirtschaft besitzen abweichend von § 30 Abs. 2 des Berufsbildungsgesetzes die für die fachliche Eignung erforderlichen beruflichen Fertigkeiten, Kenntnisse und Fähigkeiten nur, wenn sie</w:t>
      </w:r>
    </w:p>
    <w:p>
      <w:pPr>
        <w:ind w:left="420"/>
      </w:pPr>
      <w:r>
        <w:t xml:space="preserve">1. eine gemäß § 2 anerkannte Prüfung an einer Ausbildungsstätte oder vor einer Prüfungsbehörde oder eine Abschlussprüfung an einer staatlichen oder staatlich anerkannten Schule in einer dem Ausbildungsberuf entsprechenden Fachrichtung bestanden haben, oder</w:t>
      </w:r>
    </w:p>
    <w:p>
      <w:pPr>
        <w:ind w:left="420"/>
      </w:pPr>
      <w:r>
        <w:t xml:space="preserve">2. eine Abschlussprüfung an einer deutschen Hochschule in einer dem Ausbildungsberuf entsprechenden Fachrichtung bestanden haben</w:t>
      </w:r>
    </w:p>
    <w:p>
      <w:r>
        <w:t xml:space="preserve">und eine angemessene Zeit in ihrem Beruf praktisch tätig gewesen sind.</w:t>
      </w:r>
    </w:p>
    <w:p>
      <w:r>
        <w:rPr>
          <w:color w:val="555555"/>
          <w:sz w:val="17"/>
        </w:rPr>
        <w:t xml:space="preserve">Zitiervorschlag: § 1 LwHwPrüfAnerkV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https://recht.nulegal.eu/gesetze/LwHwPr%C3%BCfAnerkV/1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