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LwG</w:t>
      </w:r>
    </w:p>
    <w:p>
      <w:r>
        <w:rPr>
          <w:color w:val="555555"/>
          <w:sz w:val="18"/>
        </w:rPr>
        <w:t xml:space="preserve">Landwirtschaftsgesetz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für Ernährung und Landwirtschaft (Bundesministerium) stellt jährlich für das abgelaufene landwirtschaftliche Wirtschaftsjahr den Ertrag und Aufwand landwirtschaftlicher Betriebe, gegliedert nach Betriebsgrößen, -typen, -systemen und Wirtschaftsgebieten, fest. Er stellt zu diesem Zweck die Betriebsergebnisse von 6 000 bis 8 000 landwirtschaftlichen Betrieben zusammen und wertet sie aus. Die Auskünfte sind freiwillig.</w:t>
      </w:r>
    </w:p>
    <w:p>
      <w:r>
        <w:t xml:space="preserve">(2) Zur Feststellung der Lage der Landwirtschaft und ihrer einzelnen Gruppen sind außerdem laufend alle hierzu geeigneten Unterlagen der volkswirtschaftlichen Statistik - insbesondere Index-Vergleiche - und der landwirtschaftlichen Betriebswirtschaft heranzuziehen.</w:t>
      </w:r>
    </w:p>
    <w:p>
      <w:r>
        <w:rPr>
          <w:color w:val="555555"/>
          <w:sz w:val="17"/>
        </w:rPr>
        <w:t xml:space="preserve">Zitiervorschlag: § 2 LwG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