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LwAusbStEignV</w:t>
      </w:r>
    </w:p>
    <w:p>
      <w:r>
        <w:rPr>
          <w:color w:val="555555"/>
          <w:sz w:val="18"/>
        </w:rPr>
        <w:t xml:space="preserve">Verordnung über die Eignung der Ausbildungsstätte für die Berufsausbildung zum Landwirt/zur Landwirtin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82 Abs. 2 des Berufsbildungsgesetzes vom 14. August 1969 (BGBl. I S. 1112), der zuletzt durch Artikel 5 Nr. 1 des Gesetzes vom 20. Dezember 1993 (BGBl. I S. 2256) geändert worden ist, in Verbindung mit Artikel 56 des Zuständigkeitsanpassungs-Gesetzes vom 18. März 1975 (BGBl. I S. 705) und dem Organisationserlaß vom 17. November 1994 (BGBl. I S. 3667) verordnet das Bundesministerium für Ernährung, Landwirtschaft und Forsten im Einvernehmen mit dem Bundesministerium für Bildung, Wissenschaft, Forschung und Technologie nach Anhörung des Ständigen Ausschusses des Bundesinstituts für Berufsbildung:</w:t>
      </w:r>
    </w:p>
    <w:p>
      <w:r>
        <w:rPr>
          <w:color w:val="555555"/>
          <w:sz w:val="17"/>
        </w:rPr>
        <w:t xml:space="preserve">Zitiervorschlag: Eingangsformel LwAusbStEignV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https://recht.nulegal.eu/gesetze/LwAusbStEignV/eingangsformel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