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LwAltschV</w:t>
      </w:r>
    </w:p>
    <w:p>
      <w:r>
        <w:rPr>
          <w:color w:val="555555"/>
          <w:sz w:val="18"/>
        </w:rPr>
        <w:t xml:space="preserve">Landwirtschafts-Altschuldenverordnung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4 des Landwirtschafts-Altschuldengesetzes vom 25. Juni 2004 (BGBl. I S. 1383) verordnet das Bundesministerium der Finanzen im Einvernehmen mit dem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LwAltschV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