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4.2 LwAltschV</w:t>
      </w:r>
    </w:p>
    <w:p>
      <w:r>
        <w:rPr>
          <w:color w:val="555555"/>
          <w:sz w:val="18"/>
        </w:rPr>
        <w:t xml:space="preserve">Landwirtschafts-Altschuldenverordnung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(... nicht darstellbarer Vordruck, "Veräußerte Vermögenswerte gemäß § 8 Absatz 2 Nr. 6 LwAltschG, deren Erlös im Einzelnen mehr als 10.000 Euro betragen hat" Fundstelle: BGBl. I 2004, 2880)</w:t>
      </w:r>
    </w:p>
    <w:p>
      <w:r>
        <w:rPr>
          <w:color w:val="555555"/>
          <w:sz w:val="17"/>
        </w:rPr>
        <w:t xml:space="preserve">Zitiervorschlag: Anlage 4.2 LwAltschV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https://recht.nulegal.eu/gesetze/LwAltschV/anlage-4.2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