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LwAltschV — Barwertberechnung</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Der Barwert der zukünftigen Zahlungen entspricht der Summe der Barwerte der jährlichen Zahlungen für die Jahre 2005 bis einschließlich zum Jahr der vollständigen Tilgung der Altschulden. Dabei wird unterstellt, dass die jährlichen Zahlungen auf die Rangrücktrittsvereinbarung am Ende des Kalenderjahres erfolgen, in dem das abzurechnende Geschäftsjahr endet. Der Barwert der einzelnen jährlichen Zahlung wird nach folgender Formel berechnet:</w:t>
      </w:r>
    </w:p>
    <w:p>
      <w:r>
        <w:rPr>
          <w:rFonts w:ascii="Courier New" w:hAnsi="Courier New"/>
          <w:sz w:val="17"/>
        </w:rPr>
        <w:t xml:space="preserve">        [Abbildung]    </w:t>
      </w:r>
    </w:p>
    <w:p>
      <w:r>
        <w:rPr>
          <w:rFonts w:ascii="Courier New" w:hAnsi="Courier New"/>
          <w:sz w:val="17"/>
        </w:rPr>
        <w:t xml:space="preserve">BWL    =    Barwert der Zahlung im Kalenderjahr L    </w:t>
      </w:r>
    </w:p>
    <w:p>
      <w:r>
        <w:rPr>
          <w:rFonts w:ascii="Courier New" w:hAnsi="Courier New"/>
          <w:sz w:val="17"/>
        </w:rPr>
        <w:t xml:space="preserve">BL    =    Zahlung im Kalenderjahr L    </w:t>
      </w:r>
    </w:p>
    <w:p>
      <w:r>
        <w:rPr>
          <w:rFonts w:ascii="Courier New" w:hAnsi="Courier New"/>
          <w:sz w:val="17"/>
        </w:rPr>
        <w:t xml:space="preserve">Z    =    EU-Referenzzinssatz in vom Hundert gemäß § 7 Abs. 2des Landwirtschafts-Altschuldengesetzes in Verbindungmit § 3 Abs. 2 Satz 2 und 3 dieser Verordnung    </w:t>
      </w:r>
    </w:p>
    <w:p>
      <w:r>
        <w:rPr>
          <w:rFonts w:ascii="Courier New" w:hAnsi="Courier New"/>
          <w:sz w:val="17"/>
        </w:rPr>
        <w:t xml:space="preserve">L    =    Kalenderjahr    </w:t>
      </w:r>
    </w:p>
    <w:p>
      <w:r>
        <w:rPr>
          <w:color w:val="555555"/>
          <w:sz w:val="17"/>
        </w:rPr>
        <w:t xml:space="preserve">Zitiervorschlag: § 8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