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LwAltschV — Ermittlung des Mindestablösebetrages nach § 7 Abs. 1 Satz 4 des Landwirtschafts-Altschuldengesetzes</w:t>
      </w:r>
    </w:p>
    <w:p>
      <w:r>
        <w:rPr>
          <w:color w:val="555555"/>
          <w:sz w:val="18"/>
        </w:rPr>
        <w:t xml:space="preserve">Landwirtschafts-Altschuldenverordnung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Als entfallende Bankgebühren sind die vertraglich vereinbarten Verwaltungskostenpauschalen anzusetzen.</w:t>
      </w:r>
    </w:p>
    <w:p>
      <w:r>
        <w:t xml:space="preserve">(2) Die jährlich ersparten Kosten der Abschlussprüfungen werden pauschal auf 1 000 Euro pro Unternehmen, das einer Pflichtprüfung unterliegt, und auf 2 000 Euro pro Unternehmen, das keiner Pflichtprüfung unterliegt, festgelegt. Sind mehrere Unternehmen gemeinsam Kreditnehmer im Sinne von § 1 Abs. 2 des Landwirtschafts-Altschuldengesetzes, werden die Pauschalen für jedes Unternehmen berechnet.</w:t>
      </w:r>
    </w:p>
    <w:p>
      <w:r>
        <w:t xml:space="preserve">(3) Für die Barwertberechnung wird unterstellt, dass die Bankgebühren und Kosten der Abschlussprüfungen für den Zeitraum erspart werden, der erforderlich wäre, um bei entsprechenden Zahlungen nach der Rangrücktrittsvereinbarung die Altschulden abzutragen.</w:t>
      </w:r>
    </w:p>
    <w:p>
      <w:r>
        <w:t xml:space="preserve">(4) Zusätzlich zum Mindestablösebetrag sind die Zahlungsverpflichtungen aus § 6 zu erfüllen.</w:t>
      </w:r>
    </w:p>
    <w:p>
      <w:r>
        <w:rPr>
          <w:color w:val="555555"/>
          <w:sz w:val="17"/>
        </w:rPr>
        <w:t xml:space="preserve">Zitiervorschlag: § 7 LwAltschV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https://recht.nulegal.eu/gesetze/LwAltschV/7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