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LwAltschG — Antragsfristen, Antragsunterlagen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vorzeitige Ablösung der landwirtschaftlichen Altschulden kann nur erfolgen, wenn innerhalb von neun Monaten nach dem Inkrafttreten der Rechtsverordnung gemäß § 9 Abs. 4 ein Antrag bei der Gläubigerbank gestellt wird. Mit dem Antrag hat der Kreditnehmer ein genau beziffertes Ablöseangebot zu unterbreiten, das § 7 Abs. 1 Satz 2 bis 4 angemessen Rechnung trägt.</w:t>
      </w:r>
    </w:p>
    <w:p>
      <w:r>
        <w:t xml:space="preserve">(2) Zur Prüfung des vom Kreditnehmer unterbreiteten Ablöseangebotes sind dem Antrag insbesondere folgende, von einem Wirtschaftsprüfer oder einer Wirtschaftsprüfungsgesellschaft oder einem gesetzlichen Prüfungsverband testierte Unterlagen beizufügen:</w:t>
      </w:r>
    </w:p>
    <w:p>
      <w:pPr>
        <w:ind w:left="420"/>
      </w:pPr>
      <w:r>
        <w:t xml:space="preserve">1. die letzten drei Jahresabschlüsse einschließlich der Prüfungsberichte (gegebenenfalls die Konzernabschlüsse und Einzelabschlüsse der Beteiligungsgesellschaften);</w:t>
      </w:r>
    </w:p>
    <w:p>
      <w:pPr>
        <w:ind w:left="420"/>
      </w:pPr>
      <w:r>
        <w:t xml:space="preserve">2. eine Beurteilung der voraussichtlichen Ertragsentwicklung der nächsten fünf Jahre;</w:t>
      </w:r>
    </w:p>
    <w:p>
      <w:pPr>
        <w:ind w:left="420"/>
      </w:pPr>
      <w:r>
        <w:t xml:space="preserve">3. eine Investitionsübersicht;</w:t>
      </w:r>
    </w:p>
    <w:p>
      <w:pPr>
        <w:ind w:left="420"/>
      </w:pPr>
      <w:r>
        <w:t xml:space="preserve">4. eine Übersicht zur aktuellen Finanz- und Liquiditätslage;</w:t>
      </w:r>
    </w:p>
    <w:p>
      <w:pPr>
        <w:ind w:left="420"/>
      </w:pPr>
      <w:r>
        <w:t xml:space="preserve">5. eine Übersicht über sämtliche Vermögenswerte, die einen durch die Rechtsverordnung gemäß § 9 Abs. 4 noch festzulegenden Einzelwert übersteigen, aufgeteilt nach betriebsnotwendigen und nicht betriebsnotwendigen Vermögenswerten; bei nicht betriebsnotwendigen Vermögenswerten ist zusätzlich der geschätzte aktuelle Verkehrswert anzugeben;</w:t>
      </w:r>
    </w:p>
    <w:p>
      <w:pPr>
        <w:ind w:left="420"/>
      </w:pPr>
      <w:r>
        <w:t xml:space="preserve">6. eine Auflistung aller seit dem Abschluss der Rangrücktrittsvereinbarung erfolgten Veräußerungen von Anlagegütern, soweit der Veräußerungserlös einen durch die Rechtsverordnung gemäß § 9 Abs. 4 noch festzulegenden Betrag übersteigt, mit Angaben darüber, ob eine Wiederbeschaffung erfolgt ist;</w:t>
      </w:r>
    </w:p>
    <w:p>
      <w:pPr>
        <w:ind w:left="420"/>
      </w:pPr>
      <w:r>
        <w:t xml:space="preserve">7. soweit in der Anlage 2 der Rangrücktrittsvereinbarung enthaltene nicht betriebsnotwendige Vermögens- und Betriebsteile noch nicht veräußert wurden, ist dem Antrag ein unabhängiges Sachverständigengutachten zum aktuellen Verkehrswert dieser Vermögens- und Betriebsteile beizufügen.</w:t>
      </w:r>
    </w:p>
    <w:p>
      <w:r>
        <w:rPr>
          <w:color w:val="555555"/>
          <w:sz w:val="17"/>
        </w:rPr>
        <w:t xml:space="preserve">Zitiervorschlag: § 8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