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LwAltschG — Ablöseregelung</w:t>
      </w:r>
    </w:p>
    <w:p>
      <w:r>
        <w:rPr>
          <w:color w:val="555555"/>
          <w:sz w:val="18"/>
        </w:rPr>
        <w:t xml:space="preserve">Landwirtschafts-Altschuldengesetz</w:t>
      </w:r>
    </w:p>
    <w:p>
      <w:r>
        <w:rPr>
          <w:color w:val="555555"/>
          <w:sz w:val="18"/>
        </w:rPr>
        <w:t xml:space="preserve">Stand: 10.06.2019 (konsolidierte Textfassung, kein amtliches Inkrafttretensdatum)</w:t>
      </w:r>
    </w:p>
    <w:p>
      <w:r>
        <w:t xml:space="preserve">(1) Die landwirtschaftlichen Altschulden können auf Antrag durch einmalige Zahlung eines für jeden Kreditnehmer gesondert bestimmten Betrages abgelöst werden (Ablöseregelung). Der zu zahlende Ablösebetrag orientiert sich an der wirtschaftlichen Leistungsfähigkeit des Kreditnehmers. Diese bemisst sich nach der Ertragslage, den Vermögensverhältnissen und der Liquidität. Der Ablösebetrag soll dem Barwert der künftigen Zahlungen auf die Rangrücktrittsvereinbarungen, mindestens jedoch dem Barwert der bei Auflösung der Rangrücktrittsvereinbarungen entfallenden Bankgebühren und ersparten Kosten der Abschlussprüfungen entsprechen. Satz 1 gilt nicht für Kreditnehmer, die zum Zeitpunkt der Antragstellung die Liquidation beschlossen oder die Gesamtvollstreckung oder Insolvenz angemeldet haben.</w:t>
      </w:r>
    </w:p>
    <w:p>
      <w:r>
        <w:t xml:space="preserve">(2) Bei der Barwertberechnung wird der Durchschnitt der im Zeitraum von August 1997 bis zum Ende der Antragsfrist gemäß § 8 Abs. 1 Satz 1 im Amtsblatt der Europäischen Union für Zwecke der gemeinschaftlichen Kontrolle staatlicher Beihilfen veröffentlichten Referenzzinssätze angewendet.</w:t>
      </w:r>
    </w:p>
    <w:p>
      <w:r>
        <w:rPr>
          <w:color w:val="555555"/>
          <w:sz w:val="17"/>
        </w:rPr>
        <w:t xml:space="preserve">Zitiervorschlag: § 7 LwAltschG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https://recht.nulegal.eu/gesetze/LwAltschG/7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