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LwAltschG — Gesetzliche Änderung der Rangrücktrittsvereinbarungen</w:t>
      </w:r>
    </w:p>
    <w:p>
      <w:r>
        <w:rPr>
          <w:color w:val="555555"/>
          <w:sz w:val="18"/>
        </w:rPr>
        <w:t xml:space="preserve">Landwirtschafts-Altschuldengesetz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dem 1. Juli 2004 werden die in den §§ 2 bis 5 enthaltenen Regelungen Bestandteil der zwischen den Kreditnehmern und den Gläubigerbanken geschlossenen Rangrücktrittsvereinbarungen und ersetzen entgegenstehende Regelungen.</w:t>
      </w:r>
    </w:p>
    <w:p>
      <w:r>
        <w:rPr>
          <w:color w:val="555555"/>
          <w:sz w:val="17"/>
        </w:rPr>
        <w:t xml:space="preserve">Zitiervorschlag: § 6 LwAltschG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https://recht.nulegal.eu/gesetze/LwAltschG/6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