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LwAltschG — Erhöhung des Abführungssatzes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Zahlungen auf landwirtschaftliche Altschulden sind jeweils jährlich in Höhe von 55 Prozent der gemäß § 2 für das jeweilige Geschäftsjahr ermittelten Bemessungsgrundlage zu leisten, höchstens jedoch in Höhe des für das jeweilige Geschäftsjahr ermittelten Jahresüberschusses im Sinne des § 275 des Handelsgesetzbuchs zuzüglich der als Aufwand verrechneten Zahlungsverpflichtungen auf Grund von Rangrücktrittsvereinbarungen über landwirtschaftliche Altschulden.</w:t>
      </w:r>
    </w:p>
    <w:p>
      <w:r>
        <w:t xml:space="preserve">(2) Unterschreitet die Zahlung des Kreditnehmers auf landwirtschaftliche Altschulden die Zahlungsverpflichtung gemäß Absatz 1 erster Halbsatz, erhöht sich die Zahlungsverpflichtung gemäß Absatz 1 erster Halbsatz des Folgejahres um diesen Unterschiedsbetrag, höchstens jedoch bis zur Erreichung des für das jeweilige Geschäftsjahr gemäß Absatz 1 zweiter Halbsatz ermittelten Höchstbetrages.</w:t>
      </w:r>
    </w:p>
    <w:p>
      <w:r>
        <w:rPr>
          <w:color w:val="555555"/>
          <w:sz w:val="17"/>
        </w:rPr>
        <w:t xml:space="preserve">Zitiervorschlag: § 3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