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LwAltschG — Erstmalige Anwendung</w:t>
      </w:r>
    </w:p>
    <w:p>
      <w:r>
        <w:rPr>
          <w:color w:val="555555"/>
          <w:sz w:val="18"/>
        </w:rPr>
        <w:t xml:space="preserve">Landwirtschafts-Altschuldengesetz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2, 3 und 12 sind erstmals auf das Geschäftsjahr anzuwenden, das nach dem 30. Juni 2004 beginnt.</w:t>
      </w:r>
    </w:p>
    <w:p>
      <w:r>
        <w:rPr>
          <w:color w:val="555555"/>
          <w:sz w:val="17"/>
        </w:rPr>
        <w:t xml:space="preserve">Zitiervorschlag: § 13 LwAltschG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