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LwAltschG — Auskunftspflicht</w:t>
      </w:r>
    </w:p>
    <w:p>
      <w:r>
        <w:rPr>
          <w:color w:val="555555"/>
          <w:sz w:val="18"/>
        </w:rPr>
        <w:t xml:space="preserve">Landwirtschafts-Altschuldengesetz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Kreditnehmer sind verpflichtet, der Gläubigerbank und der beauftragten Stelle auf Verlangen Auskunft über alle für die Beurteilung der Fähigkeit zur Ablösung der landwirtschaftlichen Altschulden gemäß Teil 3 maßgeblichen Umstände zu erteilen und Einsicht in ihre Unterlagen und in ihren Betrieb zu gewähren.</w:t>
      </w:r>
    </w:p>
    <w:p>
      <w:r>
        <w:rPr>
          <w:color w:val="555555"/>
          <w:sz w:val="17"/>
        </w:rPr>
        <w:t xml:space="preserve">Zitiervorschlag: § 11 LwAltschG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https://recht.nulegal.eu/gesetze/LwAltschG/11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