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LwAltschG — Vermögensauseinandersetzung</w:t>
      </w:r>
    </w:p>
    <w:p>
      <w:r>
        <w:rPr>
          <w:color w:val="555555"/>
          <w:sz w:val="18"/>
        </w:rPr>
        <w:t xml:space="preserve">Landwirtschafts-Altschuldengesetz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den Ablösebetrag nach § 7 übersteigende Teil der landwirtschaftlichen Altschulden steht für die Vermögensauseinandersetzung in der Landwirtschaftlichen Produktionsgenossenschaft, aus der der Kreditnehmer hervorgegangen ist, nicht zur Verfügung.</w:t>
      </w:r>
    </w:p>
    <w:p>
      <w:r>
        <w:t xml:space="preserve">(2) Der den Ablösebetrag nach § 7 übersteigende Teil der landwirtschaftlichen Altschulden verbleibt in einer Rücklage, die nur zum Ausgleich von Verlusten oder zur Kapitalerhöhung aus Gesellschaftsmitteln verwendet werden darf.</w:t>
      </w:r>
    </w:p>
    <w:p>
      <w:r>
        <w:rPr>
          <w:color w:val="555555"/>
          <w:sz w:val="17"/>
        </w:rPr>
        <w:t xml:space="preserve">Zitiervorschlag: § 10 LwAltschG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https://recht.nulegal.eu/gesetze/LwAltschG/10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