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Luzyca (Brandenburg) — Sicherung und Kennzeichnung des Wasserschutzgebietes</w:t>
      </w:r>
    </w:p>
    <w:p>
      <w:r>
        <w:rPr>
          <w:color w:val="555555"/>
          <w:sz w:val="18"/>
        </w:rPr>
        <w:t xml:space="preserve">Verordnung zur Festsetzung des Wasserschutzgebietes der Stadt Forst (Lausitz)/Barsc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Zone I ist vom Begünstigten auf Anordnung der unteren Wasserbehörde gegen unbefugtes Betreten, zum Beispiel durch eine Umzäunung, zu sichern.</w:t>
      </w:r>
    </w:p>
    <w:p>
      <w:r>
        <w:t xml:space="preserve">(2) Das Wasserschutzgebiet ist vom Begünstigten auf Anordnung der unteren Wasserbehörde durch eine entsprechende Beschilderung ausreichend zu kennzeichnen.</w:t>
      </w:r>
    </w:p>
    <w:p>
      <w:r>
        <w:rPr>
          <w:color w:val="555555"/>
          <w:sz w:val="17"/>
        </w:rPr>
        <w:t xml:space="preserve">Zitiervorschlag: § 8 Luzyca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https://recht.nulegal.eu/gesetze/Luzyca/8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