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Luzyca (Brandenburg) — Schutz der Zone II</w:t>
      </w:r>
    </w:p>
    <w:p>
      <w:r>
        <w:rPr>
          <w:color w:val="555555"/>
          <w:sz w:val="18"/>
        </w:rPr>
        <w:t xml:space="preserve">Verordnung zur Festsetzung des Wasserschutzgebietes der Stadt Forst (Lausitz)/Barsc</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gelten auch in der Zone II. In der Zone II sind außerdem verboten:</w:t>
      </w:r>
    </w:p>
    <w:p>
      <w:r>
        <w:t xml:space="preserve">das Düngen mit Gülle, Jauche oder Festmist oder sonstigen organischen Düngern sowie die Anwendung von Siliersaft,</w:t>
      </w:r>
    </w:p>
    <w:p>
      <w:r>
        <w:t xml:space="preserve">das Errichten oder Erweitern von Dunglagerstätten,</w:t>
      </w:r>
    </w:p>
    <w:p>
      <w:r>
        <w:t xml:space="preserve">das Errichten von Anlagen zum Lagern oder Abfüllen von Gülle,</w:t>
      </w:r>
    </w:p>
    <w:p>
      <w:r>
        <w:t xml:space="preserve">die Silierung von Pflanzen oder Lagerung von Silage,</w:t>
      </w:r>
    </w:p>
    <w:p>
      <w:r>
        <w:t xml:space="preserve">die Freilandtierhaltung im Sinne der Anlage 3 Nummer 2, ausgenommen Kleintierhaltung für die Eigenversorgung, sofern diese bereits bei Inkrafttreten dieser Verordnung ausgeü bt wurde,</w:t>
      </w:r>
    </w:p>
    <w:p>
      <w:r>
        <w:t xml:space="preserve">die Beweidung,</w:t>
      </w:r>
    </w:p>
    <w:p>
      <w:r>
        <w:t xml:space="preserve">die Anwendung von Pflanzenschutzmitteln,</w:t>
      </w:r>
    </w:p>
    <w:p>
      <w:r>
        <w:t xml:space="preserve">die Beregnung landwirtschaftlich oder erwerbsgärtnerisch genutzter Flächen,</w:t>
      </w:r>
    </w:p>
    <w:p>
      <w:r>
        <w:t xml:space="preserve">der Einsatz von forstwirtschaftlichen Kraftfahrzeugen abseits von Straßen, Wegen und forstwirtschaftlichen Rückegassen, ausgenommen zur Freihaltung der Flächen unter der 110-kV-Hochspannungsleitung,</w:t>
      </w:r>
    </w:p>
    <w:p>
      <w:r>
        <w:t xml:space="preserve">das Vergraben, Lagern oder Ablagern von Tierkörpern oder Teilen davon,</w:t>
      </w:r>
    </w:p>
    <w:p>
      <w:r>
        <w:t xml:space="preserve">das Errichten, Erweitern oder Erneuern von Brunnen,</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Absatz 5 des Wasserhaushaltsgesetzes,</w:t>
      </w:r>
    </w:p>
    <w:p>
      <w:r>
        <w:t xml:space="preserve">das Lagern, Abfüllen oder Umschlagen wassergefährdender Stoffe im Sinne des § 19g Absatz 5 des Wasserhaushaltsgesetzes, ausgenommen haushaltsübliche Kleinstmengen,</w:t>
      </w:r>
    </w:p>
    <w:p>
      <w:r>
        <w:t xml:space="preserve">das Befahren mit Fahrzeugen mit wassergefährdender Ladung,</w:t>
      </w:r>
    </w:p>
    <w:p>
      <w:r>
        <w:t xml:space="preserve">das Errichten oder Erweitern von Transformatoren oder Stromleitungen mit flüssigen wassergefährdenden Kühl- oder Isoliermitteln,</w:t>
      </w:r>
    </w:p>
    <w:p>
      <w:r>
        <w:t xml:space="preserve">das Behandeln, Lagern oder Ablagern von Abfall im Sinne der Abfallgesetze, ausgenommen die ordnungsgemäße Lagerung in Hausmülltonnen und die Kompostierung von aus dem eigenen Garten stammenden Pflanzenabfällen,</w:t>
      </w:r>
    </w:p>
    <w:p>
      <w:r>
        <w:t xml:space="preserve">der Umgang mit radioaktiven Materialien,</w:t>
      </w:r>
    </w:p>
    <w:p>
      <w:r>
        <w:t xml:space="preserve">das Errichten oder Erweitern von Abwasserkanälen oder -leitungen, ausgenommen Anlagen, die zur Entsorgung vorhandener Anwesen dienen, wenn hierbei das Arbeitsblatt ATV-DVWK-A 142 beachtet wird,</w:t>
      </w:r>
    </w:p>
    <w:p>
      <w:r>
        <w:t xml:space="preserve">das Errichten, Aufstellen oder Verwenden von Trockentoiletten oder Chemietoiletten,</w:t>
      </w:r>
    </w:p>
    <w:p>
      <w:r>
        <w:t xml:space="preserve">das Errichten, Erweitern oder Betreiben von Abwassersammelgruben,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Errichten oder Erweitern von Straßen, Wegen oder sonstigen Verkehrsflächen, ausgenommen Baumaßnahmen an vorhandenen Straßen zur Anpassung an den Stand der Technik und Verbesserung der Verkehrssicherheit unter Beachtung der mit Runderlass des Ministeriums für Stadtentwicklung, Wohnen und Verkehr im Land Brandenburg eingeführten Richtlinien für bautechnische Maßnahmen an Straßen in Wasserschutzgebieten, Ausgabe 2002 (RiStWag) sowie ausgenommen Wege mit großflächigem Versickern nicht schädlich verunreinigten Niederschlagswassers,</w:t>
      </w:r>
    </w:p>
    <w:p>
      <w:r>
        <w:t xml:space="preserve">das Einrichten von öffentlichen Freibädern oder Zeltplätzen sowie Camping aller Art, wie zum Beispiel das Aufstellen von Zelten und Wohnwagen,</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4 Luzyca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https://recht.nulegal.eu/gesetze/Luzyca/4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