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LuftvKflAusbV — Ziel, Aufteilung in zwei Teile und Zeitpunkt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besteht aus den Teilen 1 und 2.</w:t>
      </w:r>
    </w:p>
    <w:p>
      <w:r>
        <w:t xml:space="preserve">(3) Teil 1 soll in der Mitte des zweiten Ausbildungsjahres durchgeführt werden, Teil 2 am Ende der Berufsausbildung.</w:t>
      </w:r>
    </w:p>
    <w:p>
      <w:r>
        <w:rPr>
          <w:color w:val="555555"/>
          <w:sz w:val="17"/>
        </w:rPr>
        <w:t xml:space="preserve">Zitiervorschlag: § 7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